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r>
        <w:drawing>
          <wp:inline distT="0" distB="0" distL="0" distR="0">
            <wp:extent cx="2921000" cy="476250"/>
            <wp:effectExtent l="0" t="0" r="0"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21000" cy="476250"/>
                    </a:xfrm>
                    <a:prstGeom prst="rect">
                      <a:avLst/>
                    </a:prstGeom>
                    <a:noFill/>
                    <a:ln>
                      <a:noFill/>
                    </a:ln>
                  </pic:spPr>
                </pic:pic>
              </a:graphicData>
            </a:graphic>
          </wp:inline>
        </w:drawing>
      </w:r>
    </w:p>
    <w:p>
      <w:pPr>
        <w:spacing w:before="156" w:beforeLines="50" w:after="156" w:afterLines="50"/>
        <w:ind w:firstLine="720"/>
        <w:jc w:val="center"/>
        <w:rPr>
          <w:rFonts w:ascii="黑体" w:hAnsi="华文中宋" w:eastAsia="黑体"/>
          <w:sz w:val="44"/>
          <w:szCs w:val="44"/>
        </w:rPr>
      </w:pPr>
      <w:r>
        <w:rPr>
          <w:rFonts w:hint="eastAsia" w:ascii="黑体" w:hAnsi="华文中宋" w:eastAsia="黑体"/>
          <w:sz w:val="44"/>
          <w:szCs w:val="44"/>
        </w:rPr>
        <w:t>硕士研究生复试加试</w:t>
      </w:r>
    </w:p>
    <w:p>
      <w:pPr>
        <w:spacing w:before="156" w:beforeLines="50" w:after="156" w:afterLines="50"/>
        <w:ind w:firstLine="880"/>
        <w:jc w:val="center"/>
        <w:rPr>
          <w:rFonts w:ascii="黑体" w:eastAsia="黑体"/>
          <w:sz w:val="44"/>
          <w:szCs w:val="44"/>
        </w:rPr>
      </w:pPr>
      <w:r>
        <w:rPr>
          <w:rFonts w:hint="eastAsia" w:ascii="黑体" w:eastAsia="黑体"/>
          <w:sz w:val="44"/>
          <w:szCs w:val="44"/>
        </w:rPr>
        <w:t>《阿拉伯语专业基础》科目大纲</w:t>
      </w:r>
    </w:p>
    <w:p>
      <w:pPr>
        <w:spacing w:before="156" w:beforeLines="50" w:after="156" w:afterLines="50"/>
        <w:ind w:firstLine="640"/>
        <w:jc w:val="center"/>
        <w:rPr>
          <w:rFonts w:ascii="黑体" w:eastAsia="黑体"/>
          <w:sz w:val="32"/>
          <w:szCs w:val="32"/>
        </w:rPr>
      </w:pPr>
      <w:r>
        <w:rPr>
          <w:rFonts w:hint="eastAsia" w:ascii="黑体" w:eastAsia="黑体"/>
          <w:sz w:val="32"/>
          <w:szCs w:val="32"/>
        </w:rPr>
        <w:t>（科目代码</w:t>
      </w:r>
      <w:r>
        <w:rPr>
          <w:rFonts w:eastAsia="黑体" w:asciiTheme="majorBidi" w:hAnsiTheme="majorBidi" w:cstheme="majorBidi"/>
          <w:sz w:val="32"/>
          <w:szCs w:val="32"/>
        </w:rPr>
        <w:t>784</w:t>
      </w:r>
      <w:r>
        <w:rPr>
          <w:rFonts w:hint="eastAsia" w:ascii="黑体" w:eastAsia="黑体"/>
          <w:sz w:val="32"/>
          <w:szCs w:val="32"/>
        </w:rPr>
        <w:t>）</w:t>
      </w: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420"/>
        <w:jc w:val="center"/>
      </w:pPr>
    </w:p>
    <w:p>
      <w:pPr>
        <w:ind w:firstLine="1120" w:firstLineChars="350"/>
        <w:rPr>
          <w:rFonts w:hint="default" w:ascii="Times New Roman" w:hAnsi="Times New Roman" w:cs="Times New Roman" w:eastAsiaTheme="minorEastAsia"/>
          <w:sz w:val="32"/>
          <w:szCs w:val="32"/>
          <w:u w:val="single"/>
        </w:rPr>
      </w:pPr>
      <w:r>
        <w:rPr>
          <w:rFonts w:hint="default" w:ascii="Times New Roman" w:hAnsi="Times New Roman" w:cs="Times New Roman" w:eastAsiaTheme="minorEastAsia"/>
          <w:sz w:val="32"/>
          <w:szCs w:val="32"/>
        </w:rPr>
        <w:t>学院名</w:t>
      </w:r>
      <w:bookmarkStart w:id="0" w:name="_GoBack"/>
      <w:bookmarkEnd w:id="0"/>
      <w:r>
        <w:rPr>
          <w:rFonts w:hint="default" w:ascii="Times New Roman" w:hAnsi="Times New Roman" w:cs="Times New Roman" w:eastAsiaTheme="minorEastAsia"/>
          <w:sz w:val="32"/>
          <w:szCs w:val="32"/>
        </w:rPr>
        <w:t xml:space="preserve">称（盖章）： </w:t>
      </w:r>
      <w:r>
        <w:rPr>
          <w:rFonts w:hint="default" w:ascii="Times New Roman" w:hAnsi="Times New Roman" w:cs="Times New Roman" w:eastAsiaTheme="minorEastAsia"/>
          <w:sz w:val="32"/>
          <w:szCs w:val="32"/>
          <w:u w:val="single"/>
        </w:rPr>
        <w:t xml:space="preserve">     外国语学院     </w:t>
      </w:r>
    </w:p>
    <w:p>
      <w:pPr>
        <w:ind w:firstLine="1064" w:firstLineChars="350"/>
        <w:rPr>
          <w:rFonts w:hint="default" w:ascii="Times New Roman" w:hAnsi="Times New Roman" w:cs="Times New Roman" w:eastAsiaTheme="minorEastAsia"/>
          <w:w w:val="95"/>
          <w:sz w:val="32"/>
          <w:szCs w:val="32"/>
          <w:u w:val="single"/>
        </w:rPr>
      </w:pPr>
      <w:r>
        <w:rPr>
          <w:rFonts w:hint="default" w:ascii="Times New Roman" w:hAnsi="Times New Roman" w:cs="Times New Roman" w:eastAsiaTheme="minorEastAsia"/>
          <w:w w:val="95"/>
          <w:sz w:val="32"/>
          <w:szCs w:val="32"/>
        </w:rPr>
        <w:t>学院负责人（签字）：</w:t>
      </w:r>
      <w:r>
        <w:rPr>
          <w:rFonts w:hint="default" w:ascii="Times New Roman" w:hAnsi="Times New Roman" w:cs="Times New Roman" w:eastAsiaTheme="minorEastAsia"/>
          <w:w w:val="95"/>
          <w:sz w:val="32"/>
          <w:szCs w:val="32"/>
          <w:u w:val="single"/>
        </w:rPr>
        <w:t xml:space="preserve">                      </w:t>
      </w:r>
    </w:p>
    <w:p>
      <w:pPr>
        <w:ind w:firstLine="1120" w:firstLineChars="350"/>
        <w:rPr>
          <w:rFonts w:hint="default" w:ascii="Times New Roman" w:hAnsi="Times New Roman" w:cs="Times New Roman" w:eastAsiaTheme="minorEastAsia"/>
          <w:sz w:val="32"/>
          <w:szCs w:val="32"/>
          <w:u w:val="single"/>
        </w:rPr>
      </w:pPr>
      <w:r>
        <w:rPr>
          <w:rFonts w:hint="default" w:ascii="Times New Roman" w:hAnsi="Times New Roman" w:cs="Times New Roman" w:eastAsiaTheme="minorEastAsia"/>
          <w:sz w:val="32"/>
          <w:szCs w:val="32"/>
        </w:rPr>
        <w:t xml:space="preserve">编  制  时  间：  </w:t>
      </w:r>
      <w:r>
        <w:rPr>
          <w:rFonts w:hint="default" w:ascii="Times New Roman" w:hAnsi="Times New Roman" w:cs="Times New Roman" w:eastAsiaTheme="minorEastAsia"/>
          <w:sz w:val="32"/>
          <w:szCs w:val="32"/>
          <w:u w:val="single"/>
        </w:rPr>
        <w:t xml:space="preserve">   2023年6月       </w:t>
      </w:r>
    </w:p>
    <w:p>
      <w:pPr>
        <w:spacing w:line="360" w:lineRule="auto"/>
        <w:ind w:firstLine="420"/>
        <w:jc w:val="center"/>
        <w:rPr>
          <w:rFonts w:ascii="黑体" w:hAnsi="宋体" w:eastAsia="黑体" w:cs="宋体"/>
          <w:kern w:val="0"/>
          <w:sz w:val="32"/>
          <w:szCs w:val="32"/>
        </w:rPr>
      </w:pPr>
      <w:r>
        <w:rPr>
          <w:rFonts w:hint="default" w:ascii="Times New Roman" w:hAnsi="Times New Roman" w:cs="Times New Roman" w:eastAsiaTheme="minorEastAsia"/>
        </w:rPr>
        <w:br w:type="page"/>
      </w:r>
      <w:r>
        <w:rPr>
          <w:rFonts w:hint="eastAsia" w:ascii="黑体" w:hAnsi="宋体" w:eastAsia="黑体" w:cs="宋体"/>
          <w:kern w:val="0"/>
          <w:sz w:val="32"/>
          <w:szCs w:val="32"/>
        </w:rPr>
        <w:t>《阿拉伯语专业基础》科目大纲</w:t>
      </w:r>
    </w:p>
    <w:p>
      <w:pPr>
        <w:spacing w:line="360" w:lineRule="auto"/>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（科目代码</w:t>
      </w:r>
      <w:r>
        <w:rPr>
          <w:rFonts w:ascii="仿宋_GB2312" w:hAnsi="宋体" w:eastAsia="仿宋_GB2312" w:cs="宋体"/>
          <w:kern w:val="0"/>
          <w:sz w:val="28"/>
          <w:szCs w:val="28"/>
        </w:rPr>
        <w:t>784</w:t>
      </w:r>
      <w:r>
        <w:rPr>
          <w:rFonts w:hint="eastAsia" w:ascii="仿宋_GB2312" w:hAnsi="宋体" w:eastAsia="仿宋_GB2312" w:cs="宋体"/>
          <w:kern w:val="0"/>
          <w:sz w:val="28"/>
          <w:szCs w:val="28"/>
        </w:rPr>
        <w:t>）</w:t>
      </w:r>
    </w:p>
    <w:p>
      <w:pPr>
        <w:spacing w:line="360" w:lineRule="auto"/>
        <w:ind w:firstLine="560"/>
        <w:rPr>
          <w:rFonts w:cs="宋体" w:asciiTheme="minorEastAsia" w:hAnsiTheme="minorEastAsia" w:eastAsiaTheme="minorEastAsia"/>
          <w:kern w:val="0"/>
          <w:szCs w:val="21"/>
        </w:rPr>
      </w:pPr>
    </w:p>
    <w:p>
      <w:pPr>
        <w:spacing w:line="360" w:lineRule="auto"/>
        <w:ind w:firstLine="562"/>
        <w:rPr>
          <w:rFonts w:ascii="仿宋_GB2312" w:eastAsia="仿宋_GB2312"/>
          <w:b/>
          <w:sz w:val="28"/>
          <w:szCs w:val="28"/>
        </w:rPr>
      </w:pPr>
      <w:r>
        <w:rPr>
          <w:rFonts w:hint="eastAsia" w:ascii="仿宋_GB2312" w:eastAsia="仿宋_GB2312"/>
          <w:b/>
          <w:sz w:val="28"/>
          <w:szCs w:val="28"/>
        </w:rPr>
        <w:t>一、考核要求</w:t>
      </w:r>
    </w:p>
    <w:p>
      <w:pPr>
        <w:numPr>
          <w:ilvl w:val="0"/>
          <w:numId w:val="1"/>
        </w:numPr>
        <w:spacing w:line="360" w:lineRule="auto"/>
        <w:ind w:hanging="198"/>
        <w:rPr>
          <w:szCs w:val="21"/>
        </w:rPr>
      </w:pPr>
      <w:r>
        <w:rPr>
          <w:rFonts w:hint="eastAsia"/>
          <w:szCs w:val="21"/>
        </w:rPr>
        <w:t>词法、句法：采用以选择或填空形式的客观题型。（</w:t>
      </w:r>
      <w:r>
        <w:rPr>
          <w:szCs w:val="21"/>
        </w:rPr>
        <w:t>35%</w:t>
      </w:r>
      <w:r>
        <w:rPr>
          <w:rFonts w:hint="eastAsia"/>
          <w:szCs w:val="21"/>
        </w:rPr>
        <w:t>）</w:t>
      </w:r>
    </w:p>
    <w:p>
      <w:pPr>
        <w:numPr>
          <w:ilvl w:val="0"/>
          <w:numId w:val="1"/>
        </w:numPr>
        <w:spacing w:line="360" w:lineRule="auto"/>
        <w:ind w:hanging="198"/>
        <w:rPr>
          <w:szCs w:val="21"/>
        </w:rPr>
      </w:pPr>
      <w:r>
        <w:rPr>
          <w:rFonts w:hint="eastAsia"/>
          <w:szCs w:val="21"/>
        </w:rPr>
        <w:t>完型填空：采用以选择或填空形式的客观题型。（</w:t>
      </w:r>
      <w:r>
        <w:rPr>
          <w:szCs w:val="21"/>
        </w:rPr>
        <w:t>15%</w:t>
      </w:r>
      <w:r>
        <w:rPr>
          <w:rFonts w:hint="eastAsia"/>
          <w:szCs w:val="21"/>
        </w:rPr>
        <w:t>）</w:t>
      </w:r>
    </w:p>
    <w:p>
      <w:pPr>
        <w:numPr>
          <w:ilvl w:val="0"/>
          <w:numId w:val="1"/>
        </w:numPr>
        <w:spacing w:line="360" w:lineRule="auto"/>
        <w:ind w:hanging="198"/>
        <w:rPr>
          <w:szCs w:val="21"/>
        </w:rPr>
      </w:pPr>
      <w:r>
        <w:rPr>
          <w:rFonts w:hint="eastAsia"/>
          <w:szCs w:val="21"/>
        </w:rPr>
        <w:t>阅读理解：采用单选题的客观题型。（</w:t>
      </w:r>
      <w:r>
        <w:rPr>
          <w:szCs w:val="21"/>
        </w:rPr>
        <w:t>30%</w:t>
      </w:r>
      <w:r>
        <w:rPr>
          <w:rFonts w:hint="eastAsia"/>
          <w:szCs w:val="21"/>
        </w:rPr>
        <w:t>）</w:t>
      </w:r>
    </w:p>
    <w:p>
      <w:pPr>
        <w:numPr>
          <w:ilvl w:val="0"/>
          <w:numId w:val="1"/>
        </w:numPr>
        <w:spacing w:line="360" w:lineRule="auto"/>
        <w:ind w:hanging="198"/>
        <w:rPr>
          <w:szCs w:val="21"/>
        </w:rPr>
      </w:pPr>
      <w:r>
        <w:rPr>
          <w:rFonts w:hint="eastAsia"/>
          <w:szCs w:val="21"/>
        </w:rPr>
        <w:t>翻译：包括阿汉互译两种题型。（</w:t>
      </w:r>
      <w:r>
        <w:rPr>
          <w:szCs w:val="21"/>
        </w:rPr>
        <w:t>50%</w:t>
      </w:r>
      <w:r>
        <w:rPr>
          <w:rFonts w:hint="eastAsia"/>
          <w:szCs w:val="21"/>
        </w:rPr>
        <w:t>）</w:t>
      </w:r>
    </w:p>
    <w:p>
      <w:pPr>
        <w:numPr>
          <w:ilvl w:val="0"/>
          <w:numId w:val="1"/>
        </w:numPr>
        <w:spacing w:line="360" w:lineRule="auto"/>
        <w:ind w:hanging="198"/>
        <w:rPr>
          <w:szCs w:val="21"/>
        </w:rPr>
      </w:pPr>
      <w:r>
        <w:rPr>
          <w:rFonts w:hint="eastAsia"/>
          <w:szCs w:val="21"/>
        </w:rPr>
        <w:t>写作：即命题作文，根据命题撰写一篇</w:t>
      </w:r>
      <w:r>
        <w:rPr>
          <w:szCs w:val="21"/>
        </w:rPr>
        <w:t>500</w:t>
      </w:r>
      <w:r>
        <w:rPr>
          <w:rFonts w:hint="eastAsia"/>
          <w:szCs w:val="21"/>
        </w:rPr>
        <w:t>词左右的文章。（</w:t>
      </w:r>
      <w:r>
        <w:rPr>
          <w:szCs w:val="21"/>
        </w:rPr>
        <w:t>20%</w:t>
      </w:r>
      <w:r>
        <w:rPr>
          <w:rFonts w:hint="eastAsia"/>
          <w:szCs w:val="21"/>
        </w:rPr>
        <w:t>）</w:t>
      </w:r>
    </w:p>
    <w:p>
      <w:pPr>
        <w:spacing w:line="360" w:lineRule="auto"/>
        <w:ind w:firstLine="567"/>
        <w:rPr>
          <w:rFonts w:ascii="仿宋_GB2312" w:eastAsia="仿宋_GB2312"/>
          <w:b/>
          <w:sz w:val="28"/>
          <w:szCs w:val="28"/>
        </w:rPr>
      </w:pPr>
      <w:r>
        <w:rPr>
          <w:rFonts w:hint="eastAsia" w:ascii="仿宋_GB2312" w:eastAsia="仿宋_GB2312"/>
          <w:b/>
          <w:sz w:val="28"/>
          <w:szCs w:val="28"/>
        </w:rPr>
        <w:t>二、考核评价目标</w:t>
      </w:r>
    </w:p>
    <w:p>
      <w:pPr>
        <w:numPr>
          <w:ilvl w:val="0"/>
          <w:numId w:val="2"/>
        </w:numPr>
        <w:spacing w:line="360" w:lineRule="auto"/>
        <w:ind w:hanging="198"/>
        <w:rPr>
          <w:szCs w:val="21"/>
        </w:rPr>
      </w:pPr>
      <w:r>
        <w:rPr>
          <w:rFonts w:hint="eastAsia"/>
          <w:szCs w:val="21"/>
        </w:rPr>
        <w:t>掌握基本的词法、句法知识。</w:t>
      </w:r>
    </w:p>
    <w:p>
      <w:pPr>
        <w:numPr>
          <w:ilvl w:val="0"/>
          <w:numId w:val="2"/>
        </w:numPr>
        <w:spacing w:line="360" w:lineRule="auto"/>
        <w:ind w:hanging="198"/>
        <w:rPr>
          <w:szCs w:val="21"/>
        </w:rPr>
      </w:pPr>
      <w:r>
        <w:rPr>
          <w:rFonts w:hint="eastAsia"/>
          <w:szCs w:val="21"/>
        </w:rPr>
        <w:t>词法、词汇及语篇等知识的综合语言能力。</w:t>
      </w:r>
    </w:p>
    <w:p>
      <w:pPr>
        <w:numPr>
          <w:ilvl w:val="0"/>
          <w:numId w:val="2"/>
        </w:numPr>
        <w:spacing w:line="360" w:lineRule="auto"/>
        <w:ind w:hanging="198"/>
        <w:rPr>
          <w:szCs w:val="21"/>
        </w:rPr>
      </w:pPr>
      <w:r>
        <w:rPr>
          <w:rFonts w:hint="eastAsia"/>
          <w:szCs w:val="21"/>
        </w:rPr>
        <w:t>阅读包括学术语篇在内的正规语篇的能力。</w:t>
      </w:r>
    </w:p>
    <w:p>
      <w:pPr>
        <w:numPr>
          <w:ilvl w:val="0"/>
          <w:numId w:val="2"/>
        </w:numPr>
        <w:spacing w:line="360" w:lineRule="auto"/>
        <w:ind w:hanging="198"/>
        <w:rPr>
          <w:szCs w:val="21"/>
        </w:rPr>
      </w:pPr>
      <w:r>
        <w:rPr>
          <w:rFonts w:hint="eastAsia"/>
          <w:szCs w:val="21"/>
        </w:rPr>
        <w:t>翻译能力并兼顾阅读与写作能力。</w:t>
      </w:r>
    </w:p>
    <w:p>
      <w:pPr>
        <w:numPr>
          <w:ilvl w:val="0"/>
          <w:numId w:val="2"/>
        </w:numPr>
        <w:spacing w:line="360" w:lineRule="auto"/>
        <w:ind w:hanging="198"/>
        <w:rPr>
          <w:szCs w:val="21"/>
        </w:rPr>
      </w:pPr>
      <w:r>
        <w:rPr>
          <w:rFonts w:hint="eastAsia"/>
          <w:szCs w:val="21"/>
        </w:rPr>
        <w:t>运用正规语体写作说明文或议论文的阿拉伯语写作能力。</w:t>
      </w:r>
    </w:p>
    <w:p>
      <w:pPr>
        <w:numPr>
          <w:ilvl w:val="0"/>
          <w:numId w:val="3"/>
        </w:numPr>
        <w:spacing w:line="360" w:lineRule="auto"/>
        <w:ind w:hanging="198"/>
        <w:rPr>
          <w:szCs w:val="21"/>
        </w:rPr>
      </w:pPr>
      <w:r>
        <w:rPr>
          <w:szCs w:val="21"/>
        </w:rPr>
        <w:t xml:space="preserve"> </w:t>
      </w:r>
      <w:r>
        <w:rPr>
          <w:rFonts w:hint="eastAsia"/>
          <w:szCs w:val="21"/>
        </w:rPr>
        <w:t>写作评价目标：</w:t>
      </w:r>
      <w:r>
        <w:rPr>
          <w:szCs w:val="21"/>
        </w:rPr>
        <w:t xml:space="preserve"> </w:t>
      </w:r>
    </w:p>
    <w:p>
      <w:pPr>
        <w:numPr>
          <w:ilvl w:val="0"/>
          <w:numId w:val="4"/>
        </w:numPr>
        <w:spacing w:line="360" w:lineRule="auto"/>
        <w:ind w:hanging="198"/>
        <w:rPr>
          <w:szCs w:val="21"/>
        </w:rPr>
      </w:pPr>
      <w:r>
        <w:rPr>
          <w:rFonts w:hint="eastAsia"/>
          <w:szCs w:val="21"/>
        </w:rPr>
        <w:t>内容：包含所有内容要点，主题深刻；</w:t>
      </w:r>
    </w:p>
    <w:p>
      <w:pPr>
        <w:numPr>
          <w:ilvl w:val="0"/>
          <w:numId w:val="4"/>
        </w:numPr>
        <w:spacing w:line="360" w:lineRule="auto"/>
        <w:ind w:hanging="198"/>
        <w:rPr>
          <w:szCs w:val="21"/>
        </w:rPr>
      </w:pPr>
      <w:r>
        <w:rPr>
          <w:rFonts w:hint="eastAsia"/>
          <w:szCs w:val="21"/>
        </w:rPr>
        <w:t>语法及词汇：使用正确并且多样的语法结构及词汇；</w:t>
      </w:r>
    </w:p>
    <w:p>
      <w:pPr>
        <w:numPr>
          <w:ilvl w:val="0"/>
          <w:numId w:val="4"/>
        </w:numPr>
        <w:spacing w:line="360" w:lineRule="auto"/>
        <w:ind w:hanging="198"/>
        <w:rPr>
          <w:szCs w:val="21"/>
        </w:rPr>
      </w:pPr>
      <w:r>
        <w:rPr>
          <w:rFonts w:hint="eastAsia"/>
          <w:szCs w:val="21"/>
        </w:rPr>
        <w:t>结构：逻辑合理，衔接连贯，层次清晰；</w:t>
      </w:r>
    </w:p>
    <w:p>
      <w:pPr>
        <w:numPr>
          <w:ilvl w:val="0"/>
          <w:numId w:val="4"/>
        </w:numPr>
        <w:spacing w:line="360" w:lineRule="auto"/>
        <w:ind w:hanging="198"/>
        <w:rPr>
          <w:szCs w:val="21"/>
        </w:rPr>
      </w:pPr>
      <w:r>
        <w:rPr>
          <w:rFonts w:hint="eastAsia"/>
          <w:szCs w:val="21"/>
        </w:rPr>
        <w:t>语言：自然流畅，语域恰当，卷面整洁。</w:t>
      </w:r>
    </w:p>
    <w:p>
      <w:pPr>
        <w:pStyle w:val="9"/>
        <w:numPr>
          <w:ilvl w:val="1"/>
          <w:numId w:val="4"/>
        </w:numPr>
        <w:tabs>
          <w:tab w:val="clear" w:pos="1350"/>
        </w:tabs>
        <w:spacing w:line="360" w:lineRule="auto"/>
        <w:ind w:left="1134" w:hanging="567" w:firstLineChars="0"/>
        <w:rPr>
          <w:rFonts w:ascii="仿宋_GB2312" w:eastAsia="仿宋_GB2312"/>
          <w:b/>
          <w:sz w:val="28"/>
          <w:szCs w:val="28"/>
        </w:rPr>
      </w:pPr>
      <w:r>
        <w:rPr>
          <w:rFonts w:hint="eastAsia" w:ascii="仿宋_GB2312" w:eastAsia="仿宋_GB2312"/>
          <w:b/>
          <w:sz w:val="28"/>
          <w:szCs w:val="28"/>
        </w:rPr>
        <w:t>考核内容</w:t>
      </w:r>
    </w:p>
    <w:p>
      <w:pPr>
        <w:spacing w:line="360" w:lineRule="auto"/>
        <w:ind w:left="-2" w:leftChars="-1" w:firstLine="424" w:firstLineChars="202"/>
        <w:rPr>
          <w:szCs w:val="21"/>
        </w:rPr>
      </w:pPr>
      <w:r>
        <w:rPr>
          <w:rFonts w:hint="eastAsia"/>
          <w:szCs w:val="21"/>
        </w:rPr>
        <w:t>本试旨在考察考生是否具有攻读阿拉伯语言文化硕士研究生的语言能力，要求考生通过复习本科阶段精读、语法、翻译、写作等专业学习内容，能够熟练地掌握阿拉伯语言基础知识，具有较强的语言实际应用能力以及运用所学的语言知识、分析问题和解决问题的能力。</w:t>
      </w:r>
    </w:p>
    <w:p>
      <w:pPr>
        <w:spacing w:line="360" w:lineRule="auto"/>
        <w:ind w:firstLine="567"/>
        <w:rPr>
          <w:rFonts w:ascii="仿宋_GB2312" w:eastAsia="仿宋_GB2312"/>
          <w:b/>
          <w:sz w:val="28"/>
          <w:szCs w:val="28"/>
        </w:rPr>
      </w:pPr>
      <w:r>
        <w:rPr>
          <w:rFonts w:hint="eastAsia" w:ascii="仿宋_GB2312" w:eastAsia="仿宋_GB2312"/>
          <w:b/>
          <w:sz w:val="28"/>
          <w:szCs w:val="28"/>
        </w:rPr>
        <w:t>四、参考书目</w:t>
      </w:r>
    </w:p>
    <w:p>
      <w:pPr>
        <w:spacing w:line="360" w:lineRule="auto"/>
        <w:jc w:val="left"/>
        <w:rPr>
          <w:color w:val="000000"/>
        </w:rPr>
      </w:pPr>
      <w:r>
        <w:rPr>
          <w:color w:val="000000"/>
        </w:rPr>
        <w:t xml:space="preserve">    1</w:t>
      </w:r>
      <w:r>
        <w:rPr>
          <w:rFonts w:hint="eastAsia"/>
          <w:color w:val="000000"/>
        </w:rPr>
        <w:t>、《新编阿拉伯语》（1~</w:t>
      </w:r>
      <w:r>
        <w:rPr>
          <w:color w:val="000000"/>
        </w:rPr>
        <w:t>5</w:t>
      </w:r>
      <w:r>
        <w:rPr>
          <w:rFonts w:hint="eastAsia"/>
          <w:color w:val="000000"/>
        </w:rPr>
        <w:t>），国少华主编，外语教学与研究出版社（</w:t>
      </w:r>
      <w:r>
        <w:rPr>
          <w:color w:val="000000"/>
        </w:rPr>
        <w:t>2012</w:t>
      </w:r>
      <w:r>
        <w:rPr>
          <w:rFonts w:hint="eastAsia"/>
          <w:color w:val="000000"/>
        </w:rPr>
        <w:t>版）</w:t>
      </w:r>
    </w:p>
    <w:p>
      <w:pPr>
        <w:spacing w:line="360" w:lineRule="auto"/>
        <w:rPr>
          <w:szCs w:val="21"/>
        </w:rPr>
      </w:pPr>
      <w:r>
        <w:rPr>
          <w:rFonts w:hint="eastAsia"/>
          <w:color w:val="000000"/>
        </w:rPr>
        <w:t xml:space="preserve">    </w:t>
      </w:r>
      <w:r>
        <w:rPr>
          <w:color w:val="000000"/>
        </w:rPr>
        <w:t>2</w:t>
      </w:r>
      <w:r>
        <w:rPr>
          <w:rFonts w:hint="eastAsia"/>
          <w:color w:val="000000"/>
        </w:rPr>
        <w:t>、《阿拉伯语基础语法》（</w:t>
      </w:r>
      <w:r>
        <w:rPr>
          <w:color w:val="000000"/>
        </w:rPr>
        <w:t>1~4</w:t>
      </w:r>
      <w:r>
        <w:rPr>
          <w:rFonts w:hint="eastAsia"/>
          <w:color w:val="000000"/>
        </w:rPr>
        <w:t>），外语教学与研究出版社（</w:t>
      </w:r>
      <w:r>
        <w:rPr>
          <w:color w:val="000000"/>
        </w:rPr>
        <w:t>2010</w:t>
      </w:r>
      <w:r>
        <w:rPr>
          <w:rFonts w:hint="eastAsia"/>
          <w:color w:val="000000"/>
        </w:rPr>
        <w:t>版）</w:t>
      </w:r>
    </w:p>
    <w:p>
      <w:pPr>
        <w:spacing w:line="360" w:lineRule="auto"/>
        <w:ind w:firstLine="420"/>
      </w:pPr>
    </w:p>
    <w:p>
      <w:pPr>
        <w:spacing w:line="360" w:lineRule="auto"/>
        <w:ind w:firstLine="420"/>
      </w:pPr>
    </w:p>
    <w:p>
      <w:pPr>
        <w:spacing w:line="360" w:lineRule="auto"/>
        <w:ind w:firstLine="420"/>
      </w:pPr>
    </w:p>
    <w:p>
      <w:pPr>
        <w:spacing w:line="360" w:lineRule="auto"/>
        <w:ind w:firstLine="420"/>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456EF"/>
    <w:multiLevelType w:val="multilevel"/>
    <w:tmpl w:val="45A456EF"/>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
    <w:nsid w:val="58AD22BE"/>
    <w:multiLevelType w:val="multilevel"/>
    <w:tmpl w:val="58AD22BE"/>
    <w:lvl w:ilvl="0" w:tentative="0">
      <w:start w:val="1"/>
      <w:numFmt w:val="decimal"/>
      <w:lvlText w:val="%1."/>
      <w:lvlJc w:val="left"/>
      <w:pPr>
        <w:ind w:left="870" w:hanging="360"/>
      </w:pPr>
      <w:rPr>
        <w:rFonts w:hint="default"/>
      </w:rPr>
    </w:lvl>
    <w:lvl w:ilvl="1" w:tentative="0">
      <w:start w:val="3"/>
      <w:numFmt w:val="japaneseCounting"/>
      <w:lvlText w:val="%2、"/>
      <w:lvlJc w:val="left"/>
      <w:pPr>
        <w:tabs>
          <w:tab w:val="left" w:pos="1350"/>
        </w:tabs>
        <w:ind w:left="1350" w:hanging="420"/>
      </w:pPr>
      <w:rPr>
        <w:rFonts w:hint="default"/>
      </w:r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
    <w:nsid w:val="5AA770A7"/>
    <w:multiLevelType w:val="multilevel"/>
    <w:tmpl w:val="5AA770A7"/>
    <w:lvl w:ilvl="0" w:tentative="0">
      <w:start w:val="1"/>
      <w:numFmt w:val="bullet"/>
      <w:lvlText w:val=""/>
      <w:lvlJc w:val="left"/>
      <w:pPr>
        <w:ind w:left="940" w:hanging="420"/>
      </w:pPr>
      <w:rPr>
        <w:rFonts w:hint="default" w:ascii="Wingdings" w:hAnsi="Wingdings"/>
      </w:rPr>
    </w:lvl>
    <w:lvl w:ilvl="1" w:tentative="0">
      <w:start w:val="1"/>
      <w:numFmt w:val="bullet"/>
      <w:lvlText w:val=""/>
      <w:lvlJc w:val="left"/>
      <w:pPr>
        <w:ind w:left="1360" w:hanging="420"/>
      </w:pPr>
      <w:rPr>
        <w:rFonts w:hint="default" w:ascii="Wingdings" w:hAnsi="Wingdings"/>
      </w:rPr>
    </w:lvl>
    <w:lvl w:ilvl="2" w:tentative="0">
      <w:start w:val="1"/>
      <w:numFmt w:val="bullet"/>
      <w:lvlText w:val=""/>
      <w:lvlJc w:val="left"/>
      <w:pPr>
        <w:ind w:left="1780" w:hanging="420"/>
      </w:pPr>
      <w:rPr>
        <w:rFonts w:hint="default" w:ascii="Wingdings" w:hAnsi="Wingdings"/>
      </w:rPr>
    </w:lvl>
    <w:lvl w:ilvl="3" w:tentative="0">
      <w:start w:val="1"/>
      <w:numFmt w:val="bullet"/>
      <w:lvlText w:val=""/>
      <w:lvlJc w:val="left"/>
      <w:pPr>
        <w:ind w:left="2200" w:hanging="420"/>
      </w:pPr>
      <w:rPr>
        <w:rFonts w:hint="default" w:ascii="Wingdings" w:hAnsi="Wingdings"/>
      </w:rPr>
    </w:lvl>
    <w:lvl w:ilvl="4" w:tentative="0">
      <w:start w:val="1"/>
      <w:numFmt w:val="bullet"/>
      <w:lvlText w:val=""/>
      <w:lvlJc w:val="left"/>
      <w:pPr>
        <w:ind w:left="2620" w:hanging="420"/>
      </w:pPr>
      <w:rPr>
        <w:rFonts w:hint="default" w:ascii="Wingdings" w:hAnsi="Wingdings"/>
      </w:rPr>
    </w:lvl>
    <w:lvl w:ilvl="5" w:tentative="0">
      <w:start w:val="1"/>
      <w:numFmt w:val="bullet"/>
      <w:lvlText w:val=""/>
      <w:lvlJc w:val="left"/>
      <w:pPr>
        <w:ind w:left="3040" w:hanging="420"/>
      </w:pPr>
      <w:rPr>
        <w:rFonts w:hint="default" w:ascii="Wingdings" w:hAnsi="Wingdings"/>
      </w:rPr>
    </w:lvl>
    <w:lvl w:ilvl="6" w:tentative="0">
      <w:start w:val="1"/>
      <w:numFmt w:val="bullet"/>
      <w:lvlText w:val=""/>
      <w:lvlJc w:val="left"/>
      <w:pPr>
        <w:ind w:left="3460" w:hanging="420"/>
      </w:pPr>
      <w:rPr>
        <w:rFonts w:hint="default" w:ascii="Wingdings" w:hAnsi="Wingdings"/>
      </w:rPr>
    </w:lvl>
    <w:lvl w:ilvl="7" w:tentative="0">
      <w:start w:val="1"/>
      <w:numFmt w:val="bullet"/>
      <w:lvlText w:val=""/>
      <w:lvlJc w:val="left"/>
      <w:pPr>
        <w:ind w:left="3880" w:hanging="420"/>
      </w:pPr>
      <w:rPr>
        <w:rFonts w:hint="default" w:ascii="Wingdings" w:hAnsi="Wingdings"/>
      </w:rPr>
    </w:lvl>
    <w:lvl w:ilvl="8" w:tentative="0">
      <w:start w:val="1"/>
      <w:numFmt w:val="bullet"/>
      <w:lvlText w:val=""/>
      <w:lvlJc w:val="left"/>
      <w:pPr>
        <w:ind w:left="4300" w:hanging="420"/>
      </w:pPr>
      <w:rPr>
        <w:rFonts w:hint="default" w:ascii="Wingdings" w:hAnsi="Wingdings"/>
      </w:rPr>
    </w:lvl>
  </w:abstractNum>
  <w:abstractNum w:abstractNumId="3">
    <w:nsid w:val="77246197"/>
    <w:multiLevelType w:val="multilevel"/>
    <w:tmpl w:val="77246197"/>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wZDgzNGE4ODlhZWUzYTVjNWMzMzliMjA1MDVkYmUifQ=="/>
  </w:docVars>
  <w:rsids>
    <w:rsidRoot w:val="0005192E"/>
    <w:rsid w:val="00027396"/>
    <w:rsid w:val="0005192E"/>
    <w:rsid w:val="00070757"/>
    <w:rsid w:val="000962EA"/>
    <w:rsid w:val="001F1559"/>
    <w:rsid w:val="00340B7F"/>
    <w:rsid w:val="00417308"/>
    <w:rsid w:val="00423739"/>
    <w:rsid w:val="00694B97"/>
    <w:rsid w:val="006C5B38"/>
    <w:rsid w:val="0076560B"/>
    <w:rsid w:val="007923D8"/>
    <w:rsid w:val="00A409B3"/>
    <w:rsid w:val="00B92FC2"/>
    <w:rsid w:val="00DE1AC0"/>
    <w:rsid w:val="00F33288"/>
    <w:rsid w:val="00F77240"/>
    <w:rsid w:val="00FC7FB0"/>
    <w:rsid w:val="15DA4A79"/>
    <w:rsid w:val="1E582193"/>
    <w:rsid w:val="2A7B251B"/>
    <w:rsid w:val="2E5917BF"/>
    <w:rsid w:val="619C42AC"/>
    <w:rsid w:val="68042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rFonts w:ascii="Times New Roman" w:hAnsi="Times New Roman" w:eastAsia="宋体" w:cs="Times New Roman"/>
      <w:sz w:val="18"/>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577</Words>
  <Characters>606</Characters>
  <Lines>5</Lines>
  <Paragraphs>1</Paragraphs>
  <TotalTime>1</TotalTime>
  <ScaleCrop>false</ScaleCrop>
  <LinksUpToDate>false</LinksUpToDate>
  <CharactersWithSpaces>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2018-07-04T14:15:00Z</dcterms:created>
  <dc:creator>Windows 用户</dc:creator>
  <cp:lastModifiedBy>WY</cp:lastModifiedBy>
  <dcterms:modified xsi:type="dcterms:W3CDTF">2023-06-09T03:18:00Z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42A84177E3334FA992065346D33F0FB1</vt:lpwstr>
  </property>
</Properties>
</file>